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tabs>
          <w:tab w:val="left" w:pos="7212"/>
        </w:tabs>
        <w:jc w:val="left"/>
        <w:rPr>
          <w:rFonts w:hint="eastAsia" w:ascii="Times New Roman" w:hAnsi="Times New Roman" w:eastAsia="方正仿宋_GBK"/>
          <w:b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仿宋_GBK"/>
          <w:b/>
          <w:color w:val="000000"/>
          <w:sz w:val="36"/>
          <w:szCs w:val="36"/>
          <w:lang w:eastAsia="zh-CN"/>
        </w:rPr>
        <w:tab/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tbl>
            <w:tblPr>
              <w:tblStyle w:val="4"/>
              <w:tblpPr w:leftFromText="180" w:rightFromText="180" w:vertAnchor="text" w:horzAnchor="margin" w:tblpXSpec="center" w:tblpY="332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6" w:type="dxa"/>
                  <w:noWrap w:val="0"/>
                  <w:vAlign w:val="top"/>
                </w:tcPr>
                <w:p>
                  <w:pPr>
                    <w:spacing w:line="600" w:lineRule="exact"/>
                    <w:jc w:val="distribute"/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6" w:type="dxa"/>
                  <w:noWrap w:val="0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202</w:t>
                  </w: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年</w:t>
                  </w:r>
                  <w:r>
                    <w:rPr>
                      <w:rFonts w:hint="eastAsia" w:ascii="Times New Roman" w:hAnsi="Times New Roman" w:eastAsia="方正黑体_GBK"/>
                      <w:color w:val="000000"/>
                      <w:sz w:val="36"/>
                      <w:szCs w:val="36"/>
                      <w:lang w:val="en-US" w:eastAsia="zh-CN"/>
                    </w:rPr>
                    <w:t>9</w:t>
                  </w:r>
                  <w:r>
                    <w:rPr>
                      <w:rFonts w:ascii="Times New Roman" w:hAnsi="Times New Roman" w:eastAsia="方正黑体_GBK"/>
                      <w:color w:val="000000"/>
                      <w:sz w:val="36"/>
                      <w:szCs w:val="36"/>
                    </w:rPr>
                    <w:t>月</w:t>
                  </w:r>
                </w:p>
              </w:tc>
            </w:tr>
          </w:tbl>
          <w:p>
            <w:pPr>
              <w:spacing w:line="580" w:lineRule="exact"/>
              <w:jc w:val="distribute"/>
              <w:rPr>
                <w:rFonts w:hint="eastAsia" w:ascii="Times New Roman" w:hAnsi="Times New Roman" w:eastAsia="方正仿宋_GBK"/>
                <w:b/>
                <w:color w:val="000000"/>
                <w:sz w:val="36"/>
                <w:szCs w:val="36"/>
              </w:rPr>
            </w:pPr>
          </w:p>
        </w:tc>
      </w:tr>
    </w:tbl>
    <w:p>
      <w:pPr>
        <w:textAlignment w:val="baseline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683"/>
        <w:gridCol w:w="2066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lyNuB1wAAAAoBAAAPAAAA&#10;AAAAAAEAIAAAACIAAABkcnMvZG93bnJldi54bWxQSwECFAAUAAAACACHTuJAss3fsIgCAAApBwAA&#10;DgAAAAAAAAABACAAAAAmAQAAZHJzL2Uyb0RvYy54bWxQSwUGAAAAAAYABgBZAQAAIA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专业大类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中文文秘类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广播电视，中国近现代史基本问题研究，中国哲学，博物馆，文物，国际中文教育，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</w:rPr>
              <w:t>马克思主义基本原理，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马克思主义中国化研究，中共党史党建学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，马克思主义理论，文物修复与保护，播音与主持，中文国际教育，党务工作，档案学，文物保护与修复，语言学，手语翻译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艺术类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  <w:highlight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，文物保护与修复，建筑学，艺术管理，广告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法律类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律，法学（法务会计），海商法学，刑事侦查，刑事矫正与管理，司法警务管理，智慧司法技术与应用，信用风险管理与法律防控，侦查学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社会政治类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宋体" w:hAnsi="宋体"/>
                <w:b/>
                <w:sz w:val="18"/>
                <w:szCs w:val="18"/>
                <w:highlight w:val="none"/>
              </w:rPr>
              <w:t>公共管理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，博物馆，</w:t>
            </w:r>
            <w:r>
              <w:rPr>
                <w:rFonts w:hint="eastAsia" w:ascii="宋体" w:hAnsi="宋体"/>
                <w:b/>
                <w:sz w:val="18"/>
                <w:szCs w:val="18"/>
                <w:highlight w:val="none"/>
              </w:rPr>
              <w:t>公共管理学，信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，文物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，公共关系学，公共政策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lang w:eastAsia="zh-CN"/>
              </w:rPr>
              <w:t>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，公共管理，人力资源管理，公共关系学，劳动关系，广播电视新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经济类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，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lang w:val="e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，电子商务及法律，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lang w:eastAsia="zh-CN"/>
              </w:rPr>
              <w:t>政治学、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经济学与哲学，市场营销，审计学，精算学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公共管理类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，技术经济及管理，公共政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lang w:eastAsia="zh-CN"/>
              </w:rPr>
              <w:t>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，医疗产品管理，金融管理，公共关系，艺术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工商管理类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管理科学与工程，会计学，会计，会计硕士，企业管理（含：财务管理，市场营销，旅游管理，技术经济及管理，人力资源管理），工程管理，项目管理，工商管理,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</w:rPr>
              <w:t>金融学，保险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  <w:lang w:eastAsia="zh-CN"/>
              </w:rPr>
              <w:t>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</w:rPr>
              <w:t>，贸易经济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商务贸易类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国际贸易学，国际商务，国际贸易，物流工程与管理，工商管理学，物流工程，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</w:rPr>
              <w:t>金融数学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shd w:val="clear" w:color="auto" w:fill="auto"/>
              </w:rPr>
              <w:t>保险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学，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保险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财务财会类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highlight w:val="none"/>
              </w:rPr>
              <w:t>会计学，财政学（含税收学），税务，会计，会计硕士，金融，金融硕士，金融学，审计，工商管理，资产评估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，应用经济学，企业管理，工商管理学，会计与金融，技术经济及管理，保险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，经济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税务税收类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统计类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审计类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教育类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，艺术教育，教育领导与管理，学校课程与教学，学生发展与教育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竞赛组织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外国语言文学类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，西班牙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，斯洛伐克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公安类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数据警务技术，出入境管理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监所管理类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计算机类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计算机系统结构，计算机应用技术，系统工程，计算机技术，计算机科学与技术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大数据技术与工程，人工智能，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信息与计算科学，电子信息科学与技术，仿真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计算机（软件）类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，计算机应用技术，计算机系统结构，计算机技术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计算机软件，软件工程，计算机应用软件，信息与计算科学，信息管理与信息系统，数字媒体技术，信息技术应用与管理，计算机科学与技术，软件工程技术，信息工程，物联网工程，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19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计算机（网络管理）类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网络空间安全，网络与信息安全，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信息安全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信息工程，信息与计算科学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电子信息类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人工智能，生物医学工程，电气工程，大数据技术与工程，光电信息工程，新一代电子信息技术（含量子技术等），仪器仪表工程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机械工程，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仿真科学与技术，船舶电子电气工程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机电控制类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机械，车辆工程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机械工程及自动化，船舶电子电气工程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机械工程类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航空工程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汽车维修工程教育，农业智能装备工程，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交通工程类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，</w:t>
            </w:r>
            <w:r>
              <w:rPr>
                <w:rFonts w:hint="eastAsia" w:ascii="Times New Roman" w:hAnsi="Times New Roman"/>
                <w:b/>
                <w:sz w:val="18"/>
                <w:szCs w:val="18"/>
                <w:highlight w:val="none"/>
              </w:rPr>
              <w:t>港口、海岸及近海工程，车辆工程，船舶工程，道路交通运输，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，飞行器制造工程，土木、水利与海洋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航道港口类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港口、海岸及近海工程，船舶与海洋结构物设计制造，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海洋工程，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船舶工程，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船舶与海洋工程，土木水利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船舶工程类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船舶与海洋结构物设计制造，轮机工程，水声工程，船舶与海洋工程，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船舶工程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船舶与海洋工程，海洋工程与技术，海洋资源开发技术，海洋技术，轮机工程，航海技术，船舶智能制造技术，船舶动力工程技术，船舶电气工程技术，轮机工程技术，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船舶电子电气工程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水利工程类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城建规划类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，岩土工程，交通运输工程，交通运输规划与管理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人工环境工程，测绘工程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，交通运输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，建筑工程，道路与桥梁工程，艺术设计，人居环境科学与技术，城市设计，智慧建筑与建造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28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土地管理类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地图制图学与地理信息工程，土壤学，地图学与地理信息系统，自然地理学，人文地理学，地理学，土地资源管理，测绘科学与技术，大地测量学与测量工程，摄影测量与遥感，遥感科学与技术，测绘工程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地理空间信息工程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 xml:space="preserve">29 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  <w:highlight w:val="none"/>
              </w:rPr>
              <w:t>测绘类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测绘工程，遥感科学与技术，空间科学与数字技术，地理国情监测，大地测量，地理信息科学，导航工程，导航工程技术，测绘工程技术，地理信息技术，现代测控工程技术，地理信息系统，地理空间信息工程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  <w:highlight w:val="none"/>
              </w:rPr>
              <w:t>建筑工程类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，人工环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，地质工程，岩土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人居环境科学与技术，城市设计，智慧建筑与建造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材料工程类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，材料设计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地质矿产类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安全生产类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材料与化工，矿物加工工程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矿物加工工程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能源动力类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航空宇航推进理论与工程，矿业工程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飞行器动力工程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环境保护类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科学，海洋科学，资源利用与植物保护，植物保护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自然地理学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，地下水科学与工程，森林工程，植物保护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海洋科学，水务工程，生物科学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化学工程类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材料学，矿物加工工程，物理化学，材料物理与化学，化学，林产化学加工工程，材料工程，专业大类序号为37的所有专业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药物分析，无机非金属材料工程，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医药化工类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药物化学，微生物与生化药学，制药工程，应用化学，有机化学，分析化学，药学，生物与医药，中药学，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生物工程，药理学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药物分析，中药资源与开发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食品工程类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39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生物工程类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highlight w:val="none"/>
              </w:rPr>
              <w:t>，生物与医药，</w:t>
            </w: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  <w:highlight w:val="none"/>
              </w:rPr>
              <w:t>医学遗传学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轻工纺织类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41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农业类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42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林业类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农业昆虫与害虫防治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43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畜牧养殖类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44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医学类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，医学遗传学，全科医学，生物医学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，智能医学工程，生物医学科学，听力与言语康复学，康复物理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45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公共卫生类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，妇幼保健医学，高级护理，涉外护理，健康服务与管理，护理，公共卫生管理，职业卫生工程技术，职业病危害检测评价技术，健康管理，婴幼儿发展与健康管理，医养照护与管理，动植物检疫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46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药学类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b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药学，中药，中药鉴定与质量检测技术，现代中药技术，维药学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，药品质量与安全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47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基础理学类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，能源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数学与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48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兵工宇航类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，航空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，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  <w:highlight w:val="none"/>
              </w:rPr>
              <w:t>能源与动力工程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49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测试技术类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50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highlight w:val="none"/>
              </w:rPr>
              <w:t>军事学类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highlight w:val="none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531" w:bottom="1588" w:left="1531" w:header="851" w:footer="130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-362585</wp:posOffset>
          </wp:positionV>
          <wp:extent cx="1242060" cy="332740"/>
          <wp:effectExtent l="0" t="0" r="15240" b="10795"/>
          <wp:wrapNone/>
          <wp:docPr id="5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61B4015"/>
    <w:rsid w:val="561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2024-05-30T01:41:00Z</dcterms:created>
  <dc:creator>A__の小胖纸·双</dc:creator>
  <cp:lastModifiedBy>A__の小胖纸·双</cp:lastModifiedBy>
  <dcterms:modified xsi:type="dcterms:W3CDTF">2024-05-30T01:41:26Z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7F639710DEB44BE4A15C44F3E6DC257D_11</vt:lpwstr>
  </property>
</Properties>
</file>